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8ED5" w14:textId="31A63B72" w:rsidR="00A21767" w:rsidRDefault="00A21767" w:rsidP="00A21767">
      <w:pPr>
        <w:pStyle w:val="IntenseQuote"/>
      </w:pPr>
      <w:r>
        <w:t xml:space="preserve">Sample </w:t>
      </w:r>
      <w:r w:rsidR="003958A1">
        <w:t>Incident Response Plan</w:t>
      </w:r>
    </w:p>
    <w:p w14:paraId="05B8BDED" w14:textId="34594BE6" w:rsidR="003958A1" w:rsidRPr="003958A1" w:rsidRDefault="003958A1" w:rsidP="003958A1">
      <w:pPr>
        <w:rPr>
          <w:b/>
          <w:bCs/>
        </w:rPr>
      </w:pPr>
      <w:r>
        <w:rPr>
          <w:b/>
          <w:bCs/>
        </w:rPr>
        <w:t xml:space="preserve">Sample </w:t>
      </w:r>
      <w:r w:rsidRPr="003958A1">
        <w:rPr>
          <w:b/>
          <w:bCs/>
        </w:rPr>
        <w:t>Incident Response Plan for RIA and Accounting Firm</w:t>
      </w:r>
    </w:p>
    <w:p w14:paraId="1B5AEA77" w14:textId="77777777" w:rsidR="003958A1" w:rsidRPr="003958A1" w:rsidRDefault="003958A1" w:rsidP="003958A1">
      <w:pPr>
        <w:rPr>
          <w:b/>
          <w:bCs/>
        </w:rPr>
      </w:pPr>
      <w:r w:rsidRPr="003958A1">
        <w:rPr>
          <w:b/>
          <w:bCs/>
        </w:rPr>
        <w:t>1. Purpose</w:t>
      </w:r>
    </w:p>
    <w:p w14:paraId="09E1A802" w14:textId="77777777" w:rsidR="003958A1" w:rsidRPr="003958A1" w:rsidRDefault="003958A1" w:rsidP="003958A1">
      <w:r w:rsidRPr="003958A1">
        <w:t>This Incident Response Plan (IRP) outlines procedures for identifying, responding to, and recovering from cybersecurity incidents (e.g., ransomware, data breaches, phishing) to protect client data, ensure business continuity, and comply with SEC (Regulation S-P, Form 8-K) and IRS (IRC Section 7216) requirements.</w:t>
      </w:r>
    </w:p>
    <w:p w14:paraId="30F700DC" w14:textId="77777777" w:rsidR="003958A1" w:rsidRPr="003958A1" w:rsidRDefault="003958A1" w:rsidP="003958A1">
      <w:pPr>
        <w:rPr>
          <w:b/>
          <w:bCs/>
        </w:rPr>
      </w:pPr>
      <w:r w:rsidRPr="003958A1">
        <w:rPr>
          <w:b/>
          <w:bCs/>
        </w:rPr>
        <w:t>2. Scope</w:t>
      </w:r>
    </w:p>
    <w:p w14:paraId="0EE8D13D" w14:textId="77777777" w:rsidR="003958A1" w:rsidRPr="003958A1" w:rsidRDefault="003958A1" w:rsidP="003958A1">
      <w:r w:rsidRPr="003958A1">
        <w:t>Applies to all employees, contractors, and third-party vendors handling firm systems or client data (e.g., PII, tax records, investment portfolios). Covers incidents impacting confidentiality, integrity, or availability of data or systems.</w:t>
      </w:r>
    </w:p>
    <w:p w14:paraId="14AFD86C" w14:textId="77777777" w:rsidR="003958A1" w:rsidRPr="003958A1" w:rsidRDefault="003958A1" w:rsidP="003958A1">
      <w:pPr>
        <w:rPr>
          <w:b/>
          <w:bCs/>
        </w:rPr>
      </w:pPr>
      <w:r w:rsidRPr="003958A1">
        <w:rPr>
          <w:b/>
          <w:bCs/>
        </w:rPr>
        <w:t>3. Incident Response Team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1"/>
        <w:gridCol w:w="3172"/>
        <w:gridCol w:w="3157"/>
      </w:tblGrid>
      <w:tr w:rsidR="003958A1" w:rsidRPr="003958A1" w14:paraId="3FAF8630" w14:textId="77777777">
        <w:trPr>
          <w:tblHeader/>
          <w:tblCellSpacing w:w="15" w:type="dxa"/>
        </w:trPr>
        <w:tc>
          <w:tcPr>
            <w:tcW w:w="0" w:type="auto"/>
            <w:vAlign w:val="center"/>
            <w:hideMark/>
          </w:tcPr>
          <w:p w14:paraId="390E50BF" w14:textId="77777777" w:rsidR="003958A1" w:rsidRPr="003958A1" w:rsidRDefault="003958A1" w:rsidP="003958A1">
            <w:pPr>
              <w:rPr>
                <w:b/>
                <w:bCs/>
              </w:rPr>
            </w:pPr>
            <w:r w:rsidRPr="003958A1">
              <w:rPr>
                <w:b/>
                <w:bCs/>
              </w:rPr>
              <w:t>Role</w:t>
            </w:r>
          </w:p>
        </w:tc>
        <w:tc>
          <w:tcPr>
            <w:tcW w:w="0" w:type="auto"/>
            <w:vAlign w:val="center"/>
            <w:hideMark/>
          </w:tcPr>
          <w:p w14:paraId="753C7AFD" w14:textId="77777777" w:rsidR="003958A1" w:rsidRPr="003958A1" w:rsidRDefault="003958A1" w:rsidP="003958A1">
            <w:pPr>
              <w:rPr>
                <w:b/>
                <w:bCs/>
              </w:rPr>
            </w:pPr>
            <w:r w:rsidRPr="003958A1">
              <w:rPr>
                <w:b/>
                <w:bCs/>
              </w:rPr>
              <w:t>Responsibility</w:t>
            </w:r>
          </w:p>
        </w:tc>
        <w:tc>
          <w:tcPr>
            <w:tcW w:w="0" w:type="auto"/>
            <w:vAlign w:val="center"/>
            <w:hideMark/>
          </w:tcPr>
          <w:p w14:paraId="2C472051" w14:textId="77777777" w:rsidR="003958A1" w:rsidRPr="003958A1" w:rsidRDefault="003958A1" w:rsidP="003958A1">
            <w:pPr>
              <w:rPr>
                <w:b/>
                <w:bCs/>
              </w:rPr>
            </w:pPr>
            <w:r w:rsidRPr="003958A1">
              <w:rPr>
                <w:b/>
                <w:bCs/>
              </w:rPr>
              <w:t>Contact</w:t>
            </w:r>
          </w:p>
        </w:tc>
      </w:tr>
      <w:tr w:rsidR="003958A1" w:rsidRPr="003958A1" w14:paraId="77F6F18F" w14:textId="77777777">
        <w:trPr>
          <w:tblCellSpacing w:w="15" w:type="dxa"/>
        </w:trPr>
        <w:tc>
          <w:tcPr>
            <w:tcW w:w="0" w:type="auto"/>
            <w:vAlign w:val="center"/>
            <w:hideMark/>
          </w:tcPr>
          <w:p w14:paraId="4BBBB335" w14:textId="77777777" w:rsidR="003958A1" w:rsidRPr="003958A1" w:rsidRDefault="003958A1" w:rsidP="003958A1">
            <w:r w:rsidRPr="003958A1">
              <w:t>Incident Response Coordinator (Compliance Officer)</w:t>
            </w:r>
          </w:p>
        </w:tc>
        <w:tc>
          <w:tcPr>
            <w:tcW w:w="0" w:type="auto"/>
            <w:vAlign w:val="center"/>
            <w:hideMark/>
          </w:tcPr>
          <w:p w14:paraId="7AD6D4F0" w14:textId="77777777" w:rsidR="003958A1" w:rsidRPr="003958A1" w:rsidRDefault="003958A1" w:rsidP="003958A1">
            <w:r w:rsidRPr="003958A1">
              <w:t>Leads response, coordinates reporting</w:t>
            </w:r>
          </w:p>
        </w:tc>
        <w:tc>
          <w:tcPr>
            <w:tcW w:w="0" w:type="auto"/>
            <w:vAlign w:val="center"/>
            <w:hideMark/>
          </w:tcPr>
          <w:p w14:paraId="1EB3EF7B" w14:textId="77777777" w:rsidR="003958A1" w:rsidRPr="003958A1" w:rsidRDefault="003958A1" w:rsidP="003958A1">
            <w:hyperlink r:id="rId7" w:history="1">
              <w:r w:rsidRPr="003958A1">
                <w:rPr>
                  <w:rStyle w:val="Hyperlink"/>
                </w:rPr>
                <w:t>compliance@firm.com</w:t>
              </w:r>
            </w:hyperlink>
            <w:r w:rsidRPr="003958A1">
              <w:t>, (555) 123-4567</w:t>
            </w:r>
          </w:p>
        </w:tc>
      </w:tr>
      <w:tr w:rsidR="003958A1" w:rsidRPr="003958A1" w14:paraId="1D9A663E" w14:textId="77777777">
        <w:trPr>
          <w:tblCellSpacing w:w="15" w:type="dxa"/>
        </w:trPr>
        <w:tc>
          <w:tcPr>
            <w:tcW w:w="0" w:type="auto"/>
            <w:vAlign w:val="center"/>
            <w:hideMark/>
          </w:tcPr>
          <w:p w14:paraId="579DFDC6" w14:textId="77777777" w:rsidR="003958A1" w:rsidRPr="003958A1" w:rsidRDefault="003958A1" w:rsidP="003958A1">
            <w:r w:rsidRPr="003958A1">
              <w:t>IT Manager</w:t>
            </w:r>
          </w:p>
        </w:tc>
        <w:tc>
          <w:tcPr>
            <w:tcW w:w="0" w:type="auto"/>
            <w:vAlign w:val="center"/>
            <w:hideMark/>
          </w:tcPr>
          <w:p w14:paraId="631D7476" w14:textId="77777777" w:rsidR="003958A1" w:rsidRPr="003958A1" w:rsidRDefault="003958A1" w:rsidP="003958A1">
            <w:r w:rsidRPr="003958A1">
              <w:t>Isolates systems, restores backups</w:t>
            </w:r>
          </w:p>
        </w:tc>
        <w:tc>
          <w:tcPr>
            <w:tcW w:w="0" w:type="auto"/>
            <w:vAlign w:val="center"/>
            <w:hideMark/>
          </w:tcPr>
          <w:p w14:paraId="7C09C368" w14:textId="77777777" w:rsidR="003958A1" w:rsidRPr="003958A1" w:rsidRDefault="003958A1" w:rsidP="003958A1">
            <w:hyperlink r:id="rId8" w:history="1">
              <w:r w:rsidRPr="003958A1">
                <w:rPr>
                  <w:rStyle w:val="Hyperlink"/>
                </w:rPr>
                <w:t>it@firm.com</w:t>
              </w:r>
            </w:hyperlink>
            <w:r w:rsidRPr="003958A1">
              <w:t>, (555) 123-4568</w:t>
            </w:r>
          </w:p>
        </w:tc>
      </w:tr>
      <w:tr w:rsidR="003958A1" w:rsidRPr="003958A1" w14:paraId="5981456D" w14:textId="77777777">
        <w:trPr>
          <w:tblCellSpacing w:w="15" w:type="dxa"/>
        </w:trPr>
        <w:tc>
          <w:tcPr>
            <w:tcW w:w="0" w:type="auto"/>
            <w:vAlign w:val="center"/>
            <w:hideMark/>
          </w:tcPr>
          <w:p w14:paraId="47511CEF" w14:textId="77777777" w:rsidR="003958A1" w:rsidRPr="003958A1" w:rsidRDefault="003958A1" w:rsidP="003958A1">
            <w:r w:rsidRPr="003958A1">
              <w:t>CEO/Partner</w:t>
            </w:r>
          </w:p>
        </w:tc>
        <w:tc>
          <w:tcPr>
            <w:tcW w:w="0" w:type="auto"/>
            <w:vAlign w:val="center"/>
            <w:hideMark/>
          </w:tcPr>
          <w:p w14:paraId="0DCFD073" w14:textId="77777777" w:rsidR="003958A1" w:rsidRPr="003958A1" w:rsidRDefault="003958A1" w:rsidP="003958A1">
            <w:r w:rsidRPr="003958A1">
              <w:t>Approves major decisions (e.g., ransom payment)</w:t>
            </w:r>
          </w:p>
        </w:tc>
        <w:tc>
          <w:tcPr>
            <w:tcW w:w="0" w:type="auto"/>
            <w:vAlign w:val="center"/>
            <w:hideMark/>
          </w:tcPr>
          <w:p w14:paraId="787C7429" w14:textId="77777777" w:rsidR="003958A1" w:rsidRPr="003958A1" w:rsidRDefault="003958A1" w:rsidP="003958A1">
            <w:hyperlink r:id="rId9" w:history="1">
              <w:r w:rsidRPr="003958A1">
                <w:rPr>
                  <w:rStyle w:val="Hyperlink"/>
                </w:rPr>
                <w:t>ceo@firm.com</w:t>
              </w:r>
            </w:hyperlink>
            <w:r w:rsidRPr="003958A1">
              <w:t>, (555) 123-4569</w:t>
            </w:r>
          </w:p>
        </w:tc>
      </w:tr>
      <w:tr w:rsidR="003958A1" w:rsidRPr="003958A1" w14:paraId="00B97283" w14:textId="77777777">
        <w:trPr>
          <w:tblCellSpacing w:w="15" w:type="dxa"/>
        </w:trPr>
        <w:tc>
          <w:tcPr>
            <w:tcW w:w="0" w:type="auto"/>
            <w:vAlign w:val="center"/>
            <w:hideMark/>
          </w:tcPr>
          <w:p w14:paraId="4F513C3D" w14:textId="77777777" w:rsidR="003958A1" w:rsidRPr="003958A1" w:rsidRDefault="003958A1" w:rsidP="003958A1">
            <w:r w:rsidRPr="003958A1">
              <w:t>Legal Counsel</w:t>
            </w:r>
          </w:p>
        </w:tc>
        <w:tc>
          <w:tcPr>
            <w:tcW w:w="0" w:type="auto"/>
            <w:vAlign w:val="center"/>
            <w:hideMark/>
          </w:tcPr>
          <w:p w14:paraId="7A80E199" w14:textId="77777777" w:rsidR="003958A1" w:rsidRPr="003958A1" w:rsidRDefault="003958A1" w:rsidP="003958A1">
            <w:r w:rsidRPr="003958A1">
              <w:t>Assesses liability, manages notifications</w:t>
            </w:r>
          </w:p>
        </w:tc>
        <w:tc>
          <w:tcPr>
            <w:tcW w:w="0" w:type="auto"/>
            <w:vAlign w:val="center"/>
            <w:hideMark/>
          </w:tcPr>
          <w:p w14:paraId="3D5BAAEF" w14:textId="77777777" w:rsidR="003958A1" w:rsidRPr="003958A1" w:rsidRDefault="003958A1" w:rsidP="003958A1">
            <w:hyperlink r:id="rId10" w:history="1">
              <w:r w:rsidRPr="003958A1">
                <w:rPr>
                  <w:rStyle w:val="Hyperlink"/>
                </w:rPr>
                <w:t>legal@firm.com</w:t>
              </w:r>
            </w:hyperlink>
            <w:r w:rsidRPr="003958A1">
              <w:t>, (555) 123-4570</w:t>
            </w:r>
          </w:p>
        </w:tc>
      </w:tr>
      <w:tr w:rsidR="003958A1" w:rsidRPr="003958A1" w14:paraId="3367D67C" w14:textId="77777777">
        <w:trPr>
          <w:tblCellSpacing w:w="15" w:type="dxa"/>
        </w:trPr>
        <w:tc>
          <w:tcPr>
            <w:tcW w:w="0" w:type="auto"/>
            <w:vAlign w:val="center"/>
            <w:hideMark/>
          </w:tcPr>
          <w:p w14:paraId="656ABD57" w14:textId="77777777" w:rsidR="003958A1" w:rsidRPr="003958A1" w:rsidRDefault="003958A1" w:rsidP="003958A1">
            <w:r w:rsidRPr="003958A1">
              <w:t>Accounting Lead</w:t>
            </w:r>
          </w:p>
        </w:tc>
        <w:tc>
          <w:tcPr>
            <w:tcW w:w="0" w:type="auto"/>
            <w:vAlign w:val="center"/>
            <w:hideMark/>
          </w:tcPr>
          <w:p w14:paraId="4AEEA3D3" w14:textId="77777777" w:rsidR="003958A1" w:rsidRPr="003958A1" w:rsidRDefault="003958A1" w:rsidP="003958A1">
            <w:r w:rsidRPr="003958A1">
              <w:t>Verifies financial data integrity</w:t>
            </w:r>
          </w:p>
        </w:tc>
        <w:tc>
          <w:tcPr>
            <w:tcW w:w="0" w:type="auto"/>
            <w:vAlign w:val="center"/>
            <w:hideMark/>
          </w:tcPr>
          <w:p w14:paraId="400FA633" w14:textId="77777777" w:rsidR="003958A1" w:rsidRPr="003958A1" w:rsidRDefault="003958A1" w:rsidP="003958A1">
            <w:hyperlink r:id="rId11" w:history="1">
              <w:r w:rsidRPr="003958A1">
                <w:rPr>
                  <w:rStyle w:val="Hyperlink"/>
                </w:rPr>
                <w:t>accounting@firm.com</w:t>
              </w:r>
            </w:hyperlink>
            <w:r w:rsidRPr="003958A1">
              <w:t>, (555) 123-4571</w:t>
            </w:r>
          </w:p>
        </w:tc>
      </w:tr>
      <w:tr w:rsidR="003958A1" w:rsidRPr="003958A1" w14:paraId="64DD8C41" w14:textId="77777777">
        <w:trPr>
          <w:tblCellSpacing w:w="15" w:type="dxa"/>
        </w:trPr>
        <w:tc>
          <w:tcPr>
            <w:tcW w:w="0" w:type="auto"/>
            <w:vAlign w:val="center"/>
            <w:hideMark/>
          </w:tcPr>
          <w:p w14:paraId="319C125D" w14:textId="77777777" w:rsidR="003958A1" w:rsidRPr="003958A1" w:rsidRDefault="003958A1" w:rsidP="003958A1">
            <w:r w:rsidRPr="003958A1">
              <w:lastRenderedPageBreak/>
              <w:t>HR Manager</w:t>
            </w:r>
          </w:p>
        </w:tc>
        <w:tc>
          <w:tcPr>
            <w:tcW w:w="0" w:type="auto"/>
            <w:vAlign w:val="center"/>
            <w:hideMark/>
          </w:tcPr>
          <w:p w14:paraId="4B793FEB" w14:textId="77777777" w:rsidR="003958A1" w:rsidRPr="003958A1" w:rsidRDefault="003958A1" w:rsidP="003958A1">
            <w:r w:rsidRPr="003958A1">
              <w:t>Handles employee communications, training</w:t>
            </w:r>
          </w:p>
        </w:tc>
        <w:tc>
          <w:tcPr>
            <w:tcW w:w="0" w:type="auto"/>
            <w:vAlign w:val="center"/>
            <w:hideMark/>
          </w:tcPr>
          <w:p w14:paraId="0595F4D0" w14:textId="77777777" w:rsidR="003958A1" w:rsidRPr="003958A1" w:rsidRDefault="003958A1" w:rsidP="003958A1">
            <w:hyperlink r:id="rId12" w:history="1">
              <w:r w:rsidRPr="003958A1">
                <w:rPr>
                  <w:rStyle w:val="Hyperlink"/>
                </w:rPr>
                <w:t>hr@firm.com</w:t>
              </w:r>
            </w:hyperlink>
            <w:r w:rsidRPr="003958A1">
              <w:t>, (555) 123-4572</w:t>
            </w:r>
          </w:p>
        </w:tc>
      </w:tr>
      <w:tr w:rsidR="003958A1" w:rsidRPr="003958A1" w14:paraId="1E6CCA40" w14:textId="77777777">
        <w:trPr>
          <w:tblCellSpacing w:w="15" w:type="dxa"/>
        </w:trPr>
        <w:tc>
          <w:tcPr>
            <w:tcW w:w="0" w:type="auto"/>
            <w:vAlign w:val="center"/>
            <w:hideMark/>
          </w:tcPr>
          <w:p w14:paraId="225A7866" w14:textId="77777777" w:rsidR="003958A1" w:rsidRPr="003958A1" w:rsidRDefault="003958A1" w:rsidP="003958A1">
            <w:r w:rsidRPr="003958A1">
              <w:t>External Vendor (IT/Cyber Insurance)</w:t>
            </w:r>
          </w:p>
        </w:tc>
        <w:tc>
          <w:tcPr>
            <w:tcW w:w="0" w:type="auto"/>
            <w:vAlign w:val="center"/>
            <w:hideMark/>
          </w:tcPr>
          <w:p w14:paraId="03C9B248" w14:textId="77777777" w:rsidR="003958A1" w:rsidRPr="003958A1" w:rsidRDefault="003958A1" w:rsidP="003958A1">
            <w:r w:rsidRPr="003958A1">
              <w:t>Provides technical support, insurance claims</w:t>
            </w:r>
          </w:p>
        </w:tc>
        <w:tc>
          <w:tcPr>
            <w:tcW w:w="0" w:type="auto"/>
            <w:vAlign w:val="center"/>
            <w:hideMark/>
          </w:tcPr>
          <w:p w14:paraId="6BC923BC" w14:textId="77777777" w:rsidR="003958A1" w:rsidRPr="003958A1" w:rsidRDefault="003958A1" w:rsidP="003958A1">
            <w:hyperlink r:id="rId13" w:history="1">
              <w:r w:rsidRPr="003958A1">
                <w:rPr>
                  <w:rStyle w:val="Hyperlink"/>
                </w:rPr>
                <w:t>vendor@support.com</w:t>
              </w:r>
            </w:hyperlink>
            <w:r w:rsidRPr="003958A1">
              <w:t>, (555) 123-4573</w:t>
            </w:r>
          </w:p>
        </w:tc>
      </w:tr>
    </w:tbl>
    <w:p w14:paraId="4E97C2E7" w14:textId="77777777" w:rsidR="003958A1" w:rsidRPr="003958A1" w:rsidRDefault="003958A1" w:rsidP="003958A1">
      <w:pPr>
        <w:rPr>
          <w:b/>
          <w:bCs/>
        </w:rPr>
      </w:pPr>
      <w:r w:rsidRPr="003958A1">
        <w:rPr>
          <w:b/>
          <w:bCs/>
        </w:rPr>
        <w:t>4. Incident Definitions</w:t>
      </w:r>
    </w:p>
    <w:p w14:paraId="2F1D06F7" w14:textId="77777777" w:rsidR="003958A1" w:rsidRPr="003958A1" w:rsidRDefault="003958A1" w:rsidP="003958A1">
      <w:pPr>
        <w:numPr>
          <w:ilvl w:val="0"/>
          <w:numId w:val="9"/>
        </w:numPr>
      </w:pPr>
      <w:r w:rsidRPr="003958A1">
        <w:rPr>
          <w:b/>
          <w:bCs/>
        </w:rPr>
        <w:t>Incident</w:t>
      </w:r>
      <w:r w:rsidRPr="003958A1">
        <w:t>: Any event compromising data security or system availability (e.g., unauthorized access, malware).</w:t>
      </w:r>
    </w:p>
    <w:p w14:paraId="07A0EC8E" w14:textId="77777777" w:rsidR="003958A1" w:rsidRPr="003958A1" w:rsidRDefault="003958A1" w:rsidP="003958A1">
      <w:pPr>
        <w:numPr>
          <w:ilvl w:val="0"/>
          <w:numId w:val="9"/>
        </w:numPr>
      </w:pPr>
      <w:r w:rsidRPr="003958A1">
        <w:rPr>
          <w:b/>
          <w:bCs/>
        </w:rPr>
        <w:t>Material Incident</w:t>
      </w:r>
      <w:r w:rsidRPr="003958A1">
        <w:t>: An incident likely to significantly impact operations, clients, or compliance (e.g., PII breach requiring SEC Form 8-K).</w:t>
      </w:r>
    </w:p>
    <w:p w14:paraId="439FA740" w14:textId="77777777" w:rsidR="003958A1" w:rsidRPr="003958A1" w:rsidRDefault="003958A1" w:rsidP="003958A1">
      <w:pPr>
        <w:numPr>
          <w:ilvl w:val="0"/>
          <w:numId w:val="9"/>
        </w:numPr>
      </w:pPr>
      <w:r w:rsidRPr="003958A1">
        <w:rPr>
          <w:b/>
          <w:bCs/>
        </w:rPr>
        <w:t>Examples</w:t>
      </w:r>
      <w:r w:rsidRPr="003958A1">
        <w:t>: Ransomware, phishing, insider threats, system outages.</w:t>
      </w:r>
    </w:p>
    <w:p w14:paraId="5EE02DC5" w14:textId="77777777" w:rsidR="003958A1" w:rsidRPr="003958A1" w:rsidRDefault="003958A1" w:rsidP="003958A1">
      <w:pPr>
        <w:rPr>
          <w:b/>
          <w:bCs/>
        </w:rPr>
      </w:pPr>
      <w:r w:rsidRPr="003958A1">
        <w:rPr>
          <w:b/>
          <w:bCs/>
        </w:rPr>
        <w:t>5. Response Phases</w:t>
      </w:r>
    </w:p>
    <w:p w14:paraId="5948D181" w14:textId="77777777" w:rsidR="003958A1" w:rsidRPr="003958A1" w:rsidRDefault="003958A1" w:rsidP="003958A1">
      <w:pPr>
        <w:rPr>
          <w:b/>
          <w:bCs/>
        </w:rPr>
      </w:pPr>
      <w:r w:rsidRPr="003958A1">
        <w:rPr>
          <w:b/>
          <w:bCs/>
        </w:rPr>
        <w:t>5.1 Preparation</w:t>
      </w:r>
    </w:p>
    <w:p w14:paraId="599A3421" w14:textId="77777777" w:rsidR="003958A1" w:rsidRPr="003958A1" w:rsidRDefault="003958A1" w:rsidP="003958A1">
      <w:pPr>
        <w:numPr>
          <w:ilvl w:val="0"/>
          <w:numId w:val="10"/>
        </w:numPr>
      </w:pPr>
      <w:r w:rsidRPr="003958A1">
        <w:rPr>
          <w:b/>
          <w:bCs/>
        </w:rPr>
        <w:t>Training</w:t>
      </w:r>
      <w:r w:rsidRPr="003958A1">
        <w:t>: Annual phishing and cybersecurity training for all staff.</w:t>
      </w:r>
    </w:p>
    <w:p w14:paraId="0BCEAFE8" w14:textId="77777777" w:rsidR="003958A1" w:rsidRPr="003958A1" w:rsidRDefault="003958A1" w:rsidP="003958A1">
      <w:pPr>
        <w:numPr>
          <w:ilvl w:val="0"/>
          <w:numId w:val="10"/>
        </w:numPr>
      </w:pPr>
      <w:r w:rsidRPr="003958A1">
        <w:rPr>
          <w:b/>
          <w:bCs/>
        </w:rPr>
        <w:t>Backups</w:t>
      </w:r>
      <w:r w:rsidRPr="003958A1">
        <w:t>: Maintain offline, encrypted backups of client data, tested monthly.</w:t>
      </w:r>
    </w:p>
    <w:p w14:paraId="133F0990" w14:textId="77777777" w:rsidR="003958A1" w:rsidRPr="003958A1" w:rsidRDefault="003958A1" w:rsidP="003958A1">
      <w:pPr>
        <w:numPr>
          <w:ilvl w:val="0"/>
          <w:numId w:val="10"/>
        </w:numPr>
      </w:pPr>
      <w:r w:rsidRPr="003958A1">
        <w:rPr>
          <w:b/>
          <w:bCs/>
        </w:rPr>
        <w:t>Tools</w:t>
      </w:r>
      <w:r w:rsidRPr="003958A1">
        <w:t>: Deploy endpoint detection, email filters, and multi-factor authentication (MFA).</w:t>
      </w:r>
    </w:p>
    <w:p w14:paraId="745E8837" w14:textId="77777777" w:rsidR="003958A1" w:rsidRPr="003958A1" w:rsidRDefault="003958A1" w:rsidP="003958A1">
      <w:pPr>
        <w:numPr>
          <w:ilvl w:val="0"/>
          <w:numId w:val="10"/>
        </w:numPr>
      </w:pPr>
      <w:r w:rsidRPr="003958A1">
        <w:rPr>
          <w:b/>
          <w:bCs/>
        </w:rPr>
        <w:t>Testing</w:t>
      </w:r>
      <w:r w:rsidRPr="003958A1">
        <w:t>: Conduct quarterly TTXs (e.g., ransomware simulation) and update plan based on findings.</w:t>
      </w:r>
    </w:p>
    <w:p w14:paraId="699C9AF1" w14:textId="77777777" w:rsidR="003958A1" w:rsidRPr="003958A1" w:rsidRDefault="003958A1" w:rsidP="003958A1">
      <w:pPr>
        <w:numPr>
          <w:ilvl w:val="0"/>
          <w:numId w:val="10"/>
        </w:numPr>
      </w:pPr>
      <w:r w:rsidRPr="003958A1">
        <w:rPr>
          <w:b/>
          <w:bCs/>
        </w:rPr>
        <w:t>Documentation</w:t>
      </w:r>
      <w:r w:rsidRPr="003958A1">
        <w:t>: Keep an updated Written Information Security Plan (WISP) per SEC and IRS requirements.</w:t>
      </w:r>
    </w:p>
    <w:p w14:paraId="37F0FE38" w14:textId="77777777" w:rsidR="003958A1" w:rsidRPr="003958A1" w:rsidRDefault="003958A1" w:rsidP="003958A1">
      <w:pPr>
        <w:rPr>
          <w:b/>
          <w:bCs/>
        </w:rPr>
      </w:pPr>
      <w:r w:rsidRPr="003958A1">
        <w:rPr>
          <w:b/>
          <w:bCs/>
        </w:rPr>
        <w:t>5.2 Identification</w:t>
      </w:r>
    </w:p>
    <w:p w14:paraId="33558F0C" w14:textId="77777777" w:rsidR="003958A1" w:rsidRPr="003958A1" w:rsidRDefault="003958A1" w:rsidP="003958A1">
      <w:pPr>
        <w:numPr>
          <w:ilvl w:val="0"/>
          <w:numId w:val="11"/>
        </w:numPr>
      </w:pPr>
      <w:r w:rsidRPr="003958A1">
        <w:rPr>
          <w:b/>
          <w:bCs/>
        </w:rPr>
        <w:t>Detection</w:t>
      </w:r>
      <w:r w:rsidRPr="003958A1">
        <w:t>: Monitor for anomalies (e.g., unusual file activity, login attempts) using SIEM tools or IT alerts.</w:t>
      </w:r>
    </w:p>
    <w:p w14:paraId="745D9DFE" w14:textId="77777777" w:rsidR="003958A1" w:rsidRPr="003958A1" w:rsidRDefault="003958A1" w:rsidP="003958A1">
      <w:pPr>
        <w:numPr>
          <w:ilvl w:val="0"/>
          <w:numId w:val="11"/>
        </w:numPr>
      </w:pPr>
      <w:r w:rsidRPr="003958A1">
        <w:rPr>
          <w:b/>
          <w:bCs/>
        </w:rPr>
        <w:t>Reporting</w:t>
      </w:r>
      <w:r w:rsidRPr="003958A1">
        <w:t>: Employees report suspected incidents to the Coordinator within 1 hour via email or phone.</w:t>
      </w:r>
    </w:p>
    <w:p w14:paraId="468302EC" w14:textId="77777777" w:rsidR="003958A1" w:rsidRPr="003958A1" w:rsidRDefault="003958A1" w:rsidP="003958A1">
      <w:pPr>
        <w:numPr>
          <w:ilvl w:val="0"/>
          <w:numId w:val="11"/>
        </w:numPr>
      </w:pPr>
      <w:r w:rsidRPr="003958A1">
        <w:rPr>
          <w:b/>
          <w:bCs/>
        </w:rPr>
        <w:lastRenderedPageBreak/>
        <w:t>Assessment</w:t>
      </w:r>
      <w:r w:rsidRPr="003958A1">
        <w:t>: IT Manager confirms incident scope (e.g., systems affected, PII exposed) within 2 hours.</w:t>
      </w:r>
    </w:p>
    <w:p w14:paraId="2B13F612" w14:textId="77777777" w:rsidR="003958A1" w:rsidRPr="003958A1" w:rsidRDefault="003958A1" w:rsidP="003958A1">
      <w:pPr>
        <w:numPr>
          <w:ilvl w:val="1"/>
          <w:numId w:val="11"/>
        </w:numPr>
      </w:pPr>
      <w:r w:rsidRPr="003958A1">
        <w:t>Example: Phishing email opens malware; IT detects encrypted files.</w:t>
      </w:r>
    </w:p>
    <w:p w14:paraId="37D3DE51" w14:textId="77777777" w:rsidR="003958A1" w:rsidRPr="003958A1" w:rsidRDefault="003958A1" w:rsidP="003958A1">
      <w:pPr>
        <w:rPr>
          <w:b/>
          <w:bCs/>
        </w:rPr>
      </w:pPr>
      <w:r w:rsidRPr="003958A1">
        <w:rPr>
          <w:b/>
          <w:bCs/>
        </w:rPr>
        <w:t>5.3 Containment</w:t>
      </w:r>
    </w:p>
    <w:p w14:paraId="560491BB" w14:textId="77777777" w:rsidR="003958A1" w:rsidRPr="003958A1" w:rsidRDefault="003958A1" w:rsidP="003958A1">
      <w:pPr>
        <w:numPr>
          <w:ilvl w:val="0"/>
          <w:numId w:val="12"/>
        </w:numPr>
      </w:pPr>
      <w:r w:rsidRPr="003958A1">
        <w:rPr>
          <w:b/>
          <w:bCs/>
        </w:rPr>
        <w:t>Short-Term</w:t>
      </w:r>
      <w:r w:rsidRPr="003958A1">
        <w:t>: Isolate affected systems (e.g., disconnect workstation, disable network access) within 15 minutes.</w:t>
      </w:r>
    </w:p>
    <w:p w14:paraId="085797A4" w14:textId="77777777" w:rsidR="003958A1" w:rsidRPr="003958A1" w:rsidRDefault="003958A1" w:rsidP="003958A1">
      <w:pPr>
        <w:numPr>
          <w:ilvl w:val="0"/>
          <w:numId w:val="12"/>
        </w:numPr>
      </w:pPr>
      <w:r w:rsidRPr="003958A1">
        <w:rPr>
          <w:b/>
          <w:bCs/>
        </w:rPr>
        <w:t>Long-Term</w:t>
      </w:r>
      <w:r w:rsidRPr="003958A1">
        <w:t>: Apply temporary patches or restrict access to prevent spread (e.g., firewall rules).</w:t>
      </w:r>
    </w:p>
    <w:p w14:paraId="236126DA" w14:textId="77777777" w:rsidR="003958A1" w:rsidRPr="003958A1" w:rsidRDefault="003958A1" w:rsidP="003958A1">
      <w:pPr>
        <w:numPr>
          <w:ilvl w:val="0"/>
          <w:numId w:val="12"/>
        </w:numPr>
      </w:pPr>
      <w:r w:rsidRPr="003958A1">
        <w:rPr>
          <w:b/>
          <w:bCs/>
        </w:rPr>
        <w:t>Preservation</w:t>
      </w:r>
      <w:r w:rsidRPr="003958A1">
        <w:t>: Log all actions and preserve evidence (e.g., malware samples) for forensic analysis.</w:t>
      </w:r>
    </w:p>
    <w:p w14:paraId="611C3C7B" w14:textId="77777777" w:rsidR="003958A1" w:rsidRPr="003958A1" w:rsidRDefault="003958A1" w:rsidP="003958A1">
      <w:pPr>
        <w:rPr>
          <w:b/>
          <w:bCs/>
        </w:rPr>
      </w:pPr>
      <w:r w:rsidRPr="003958A1">
        <w:rPr>
          <w:b/>
          <w:bCs/>
        </w:rPr>
        <w:t>5.4 Eradication</w:t>
      </w:r>
    </w:p>
    <w:p w14:paraId="134918DF" w14:textId="77777777" w:rsidR="003958A1" w:rsidRPr="003958A1" w:rsidRDefault="003958A1" w:rsidP="003958A1">
      <w:pPr>
        <w:numPr>
          <w:ilvl w:val="0"/>
          <w:numId w:val="13"/>
        </w:numPr>
      </w:pPr>
      <w:r w:rsidRPr="003958A1">
        <w:rPr>
          <w:b/>
          <w:bCs/>
        </w:rPr>
        <w:t>Remove Threat</w:t>
      </w:r>
      <w:r w:rsidRPr="003958A1">
        <w:t>: IT Manager removes malware (e.g., using antivirus) and patches vulnerabilities (e.g., update Windows Server) within 24 hours.</w:t>
      </w:r>
    </w:p>
    <w:p w14:paraId="764BE2D9" w14:textId="77777777" w:rsidR="003958A1" w:rsidRPr="003958A1" w:rsidRDefault="003958A1" w:rsidP="003958A1">
      <w:pPr>
        <w:numPr>
          <w:ilvl w:val="0"/>
          <w:numId w:val="13"/>
        </w:numPr>
      </w:pPr>
      <w:r w:rsidRPr="003958A1">
        <w:rPr>
          <w:b/>
          <w:bCs/>
        </w:rPr>
        <w:t>Verify</w:t>
      </w:r>
      <w:r w:rsidRPr="003958A1">
        <w:t>: Ensure no residual threats remain via scans.</w:t>
      </w:r>
    </w:p>
    <w:p w14:paraId="584A95BE" w14:textId="77777777" w:rsidR="003958A1" w:rsidRPr="003958A1" w:rsidRDefault="003958A1" w:rsidP="003958A1">
      <w:pPr>
        <w:numPr>
          <w:ilvl w:val="0"/>
          <w:numId w:val="13"/>
        </w:numPr>
      </w:pPr>
      <w:r w:rsidRPr="003958A1">
        <w:rPr>
          <w:b/>
          <w:bCs/>
        </w:rPr>
        <w:t>Coordinate</w:t>
      </w:r>
      <w:r w:rsidRPr="003958A1">
        <w:t>: Engage external vendor if needed (e.g., for advanced forensics).</w:t>
      </w:r>
    </w:p>
    <w:p w14:paraId="405F7E0E" w14:textId="77777777" w:rsidR="003958A1" w:rsidRPr="003958A1" w:rsidRDefault="003958A1" w:rsidP="003958A1">
      <w:pPr>
        <w:rPr>
          <w:b/>
          <w:bCs/>
        </w:rPr>
      </w:pPr>
      <w:r w:rsidRPr="003958A1">
        <w:rPr>
          <w:b/>
          <w:bCs/>
        </w:rPr>
        <w:t>5.5 Recovery</w:t>
      </w:r>
    </w:p>
    <w:p w14:paraId="2A73A55F" w14:textId="77777777" w:rsidR="003958A1" w:rsidRPr="003958A1" w:rsidRDefault="003958A1" w:rsidP="003958A1">
      <w:pPr>
        <w:numPr>
          <w:ilvl w:val="0"/>
          <w:numId w:val="14"/>
        </w:numPr>
      </w:pPr>
      <w:r w:rsidRPr="003958A1">
        <w:rPr>
          <w:b/>
          <w:bCs/>
        </w:rPr>
        <w:t>Restore Systems</w:t>
      </w:r>
      <w:r w:rsidRPr="003958A1">
        <w:t>: IT Manager restores data from offline backups within 48 hours, verifying integrity.</w:t>
      </w:r>
    </w:p>
    <w:p w14:paraId="319BEF86" w14:textId="77777777" w:rsidR="003958A1" w:rsidRPr="003958A1" w:rsidRDefault="003958A1" w:rsidP="003958A1">
      <w:pPr>
        <w:numPr>
          <w:ilvl w:val="0"/>
          <w:numId w:val="14"/>
        </w:numPr>
      </w:pPr>
      <w:r w:rsidRPr="003958A1">
        <w:rPr>
          <w:b/>
          <w:bCs/>
        </w:rPr>
        <w:t>Test</w:t>
      </w:r>
      <w:r w:rsidRPr="003958A1">
        <w:t>: Accounting Lead confirms client data (e.g., tax records) is accurate.</w:t>
      </w:r>
    </w:p>
    <w:p w14:paraId="4640C27E" w14:textId="77777777" w:rsidR="003958A1" w:rsidRPr="003958A1" w:rsidRDefault="003958A1" w:rsidP="003958A1">
      <w:pPr>
        <w:numPr>
          <w:ilvl w:val="0"/>
          <w:numId w:val="14"/>
        </w:numPr>
      </w:pPr>
      <w:r w:rsidRPr="003958A1">
        <w:rPr>
          <w:b/>
          <w:bCs/>
        </w:rPr>
        <w:t>Monitor</w:t>
      </w:r>
      <w:r w:rsidRPr="003958A1">
        <w:t>: Watch for re-infection for 7 days post-recovery.</w:t>
      </w:r>
    </w:p>
    <w:p w14:paraId="3D723B4F" w14:textId="77777777" w:rsidR="003958A1" w:rsidRPr="003958A1" w:rsidRDefault="003958A1" w:rsidP="003958A1">
      <w:pPr>
        <w:rPr>
          <w:b/>
          <w:bCs/>
        </w:rPr>
      </w:pPr>
      <w:r w:rsidRPr="003958A1">
        <w:rPr>
          <w:b/>
          <w:bCs/>
        </w:rPr>
        <w:t>5.6 Notification</w:t>
      </w:r>
    </w:p>
    <w:p w14:paraId="625A0FE0" w14:textId="77777777" w:rsidR="003958A1" w:rsidRPr="003958A1" w:rsidRDefault="003958A1" w:rsidP="003958A1">
      <w:pPr>
        <w:numPr>
          <w:ilvl w:val="0"/>
          <w:numId w:val="15"/>
        </w:numPr>
      </w:pPr>
      <w:r w:rsidRPr="003958A1">
        <w:rPr>
          <w:b/>
          <w:bCs/>
        </w:rPr>
        <w:t>Internal</w:t>
      </w:r>
      <w:r w:rsidRPr="003958A1">
        <w:t>: Coordinator notifies response team within 1 hour of confirmation.</w:t>
      </w:r>
    </w:p>
    <w:p w14:paraId="341FFDD6" w14:textId="77777777" w:rsidR="003958A1" w:rsidRPr="003958A1" w:rsidRDefault="003958A1" w:rsidP="003958A1">
      <w:pPr>
        <w:numPr>
          <w:ilvl w:val="0"/>
          <w:numId w:val="15"/>
        </w:numPr>
      </w:pPr>
      <w:r w:rsidRPr="003958A1">
        <w:rPr>
          <w:b/>
          <w:bCs/>
        </w:rPr>
        <w:t>Clients</w:t>
      </w:r>
      <w:r w:rsidRPr="003958A1">
        <w:t>: Legal Counsel drafts notifications per Regulation S-P (within 30 days) if PII is exposed.</w:t>
      </w:r>
    </w:p>
    <w:p w14:paraId="4A59BF14" w14:textId="77777777" w:rsidR="003958A1" w:rsidRPr="003958A1" w:rsidRDefault="003958A1" w:rsidP="003958A1">
      <w:pPr>
        <w:numPr>
          <w:ilvl w:val="0"/>
          <w:numId w:val="15"/>
        </w:numPr>
      </w:pPr>
      <w:r w:rsidRPr="003958A1">
        <w:rPr>
          <w:b/>
          <w:bCs/>
        </w:rPr>
        <w:t>Regulatory</w:t>
      </w:r>
      <w:r w:rsidRPr="003958A1">
        <w:t>: Compliance Officer files SEC Form 8-K within 4 business days for material incidents. Notify IRS if taxpayer data is compromised.</w:t>
      </w:r>
    </w:p>
    <w:p w14:paraId="70042EEA" w14:textId="77777777" w:rsidR="003958A1" w:rsidRPr="003958A1" w:rsidRDefault="003958A1" w:rsidP="003958A1">
      <w:pPr>
        <w:numPr>
          <w:ilvl w:val="0"/>
          <w:numId w:val="15"/>
        </w:numPr>
      </w:pPr>
      <w:r w:rsidRPr="003958A1">
        <w:rPr>
          <w:b/>
          <w:bCs/>
        </w:rPr>
        <w:lastRenderedPageBreak/>
        <w:t>External</w:t>
      </w:r>
      <w:r w:rsidRPr="003958A1">
        <w:t>: Report to law enforcement (e.g., FBI) if data is exfiltrated.</w:t>
      </w:r>
    </w:p>
    <w:p w14:paraId="6B88C03D" w14:textId="77777777" w:rsidR="003958A1" w:rsidRPr="003958A1" w:rsidRDefault="003958A1" w:rsidP="003958A1">
      <w:pPr>
        <w:rPr>
          <w:b/>
          <w:bCs/>
        </w:rPr>
      </w:pPr>
      <w:r w:rsidRPr="003958A1">
        <w:rPr>
          <w:b/>
          <w:bCs/>
        </w:rPr>
        <w:t>5.7 Post-Incident Review</w:t>
      </w:r>
    </w:p>
    <w:p w14:paraId="7843E077" w14:textId="77777777" w:rsidR="003958A1" w:rsidRPr="003958A1" w:rsidRDefault="003958A1" w:rsidP="003958A1">
      <w:pPr>
        <w:numPr>
          <w:ilvl w:val="0"/>
          <w:numId w:val="16"/>
        </w:numPr>
      </w:pPr>
      <w:r w:rsidRPr="003958A1">
        <w:rPr>
          <w:b/>
          <w:bCs/>
        </w:rPr>
        <w:t>Debrief</w:t>
      </w:r>
      <w:r w:rsidRPr="003958A1">
        <w:t>: Conduct AAR within 1 week, identifying strengths and gaps.</w:t>
      </w:r>
    </w:p>
    <w:p w14:paraId="5F071C41" w14:textId="77777777" w:rsidR="003958A1" w:rsidRPr="003958A1" w:rsidRDefault="003958A1" w:rsidP="003958A1">
      <w:pPr>
        <w:numPr>
          <w:ilvl w:val="0"/>
          <w:numId w:val="16"/>
        </w:numPr>
      </w:pPr>
      <w:r w:rsidRPr="003958A1">
        <w:rPr>
          <w:b/>
          <w:bCs/>
        </w:rPr>
        <w:t>Update Plan</w:t>
      </w:r>
      <w:r w:rsidRPr="003958A1">
        <w:t>: Revise IRP based on lessons (e.g., add MFA policy) within 2 weeks.</w:t>
      </w:r>
    </w:p>
    <w:p w14:paraId="2ED3E087" w14:textId="77777777" w:rsidR="003958A1" w:rsidRPr="003958A1" w:rsidRDefault="003958A1" w:rsidP="003958A1">
      <w:pPr>
        <w:numPr>
          <w:ilvl w:val="0"/>
          <w:numId w:val="16"/>
        </w:numPr>
      </w:pPr>
      <w:r w:rsidRPr="003958A1">
        <w:rPr>
          <w:b/>
          <w:bCs/>
        </w:rPr>
        <w:t>Training</w:t>
      </w:r>
      <w:r w:rsidRPr="003958A1">
        <w:t>: Implement new training within 1 month.</w:t>
      </w:r>
    </w:p>
    <w:p w14:paraId="115958A3" w14:textId="77777777" w:rsidR="003958A1" w:rsidRPr="003958A1" w:rsidRDefault="003958A1" w:rsidP="003958A1">
      <w:pPr>
        <w:numPr>
          <w:ilvl w:val="0"/>
          <w:numId w:val="16"/>
        </w:numPr>
      </w:pPr>
      <w:r w:rsidRPr="003958A1">
        <w:rPr>
          <w:b/>
          <w:bCs/>
        </w:rPr>
        <w:t>Log</w:t>
      </w:r>
      <w:r w:rsidRPr="003958A1">
        <w:t>: Maintain incident log for SEC/IRS audits.</w:t>
      </w:r>
    </w:p>
    <w:p w14:paraId="2BAA2488" w14:textId="77777777" w:rsidR="003958A1" w:rsidRPr="003958A1" w:rsidRDefault="003958A1" w:rsidP="003958A1">
      <w:pPr>
        <w:rPr>
          <w:b/>
          <w:bCs/>
        </w:rPr>
      </w:pPr>
      <w:r w:rsidRPr="003958A1">
        <w:rPr>
          <w:b/>
          <w:bCs/>
        </w:rPr>
        <w:t>6. Key Procedures</w:t>
      </w:r>
    </w:p>
    <w:p w14:paraId="39483B8A" w14:textId="77777777" w:rsidR="003958A1" w:rsidRPr="003958A1" w:rsidRDefault="003958A1" w:rsidP="003958A1">
      <w:pPr>
        <w:numPr>
          <w:ilvl w:val="0"/>
          <w:numId w:val="17"/>
        </w:numPr>
      </w:pPr>
      <w:r w:rsidRPr="003958A1">
        <w:rPr>
          <w:b/>
          <w:bCs/>
        </w:rPr>
        <w:t>Ransom Policy</w:t>
      </w:r>
      <w:r w:rsidRPr="003958A1">
        <w:t>: Do not pay ransoms without CEO and Legal approval, considering cyber insurance and FBI guidance.</w:t>
      </w:r>
    </w:p>
    <w:p w14:paraId="2320F793" w14:textId="77777777" w:rsidR="003958A1" w:rsidRPr="003958A1" w:rsidRDefault="003958A1" w:rsidP="003958A1">
      <w:pPr>
        <w:numPr>
          <w:ilvl w:val="0"/>
          <w:numId w:val="17"/>
        </w:numPr>
      </w:pPr>
      <w:r w:rsidRPr="003958A1">
        <w:rPr>
          <w:b/>
          <w:bCs/>
        </w:rPr>
        <w:t>Communication Plan</w:t>
      </w:r>
      <w:r w:rsidRPr="003958A1">
        <w:t>: Use predefined templates for client and regulatory notifications.</w:t>
      </w:r>
    </w:p>
    <w:p w14:paraId="42C67F18" w14:textId="77777777" w:rsidR="003958A1" w:rsidRPr="003958A1" w:rsidRDefault="003958A1" w:rsidP="003958A1">
      <w:pPr>
        <w:numPr>
          <w:ilvl w:val="0"/>
          <w:numId w:val="17"/>
        </w:numPr>
      </w:pPr>
      <w:r w:rsidRPr="003958A1">
        <w:rPr>
          <w:b/>
          <w:bCs/>
        </w:rPr>
        <w:t>Vendor Coordination</w:t>
      </w:r>
      <w:r w:rsidRPr="003958A1">
        <w:t>: Ensure third-party providers (e.g., cloud vendors) comply with GLBA via annual reviews.</w:t>
      </w:r>
    </w:p>
    <w:p w14:paraId="54069A81" w14:textId="77777777" w:rsidR="003958A1" w:rsidRPr="003958A1" w:rsidRDefault="003958A1" w:rsidP="003958A1">
      <w:pPr>
        <w:numPr>
          <w:ilvl w:val="0"/>
          <w:numId w:val="17"/>
        </w:numPr>
      </w:pPr>
      <w:r w:rsidRPr="003958A1">
        <w:rPr>
          <w:b/>
          <w:bCs/>
        </w:rPr>
        <w:t>Backup Policy</w:t>
      </w:r>
      <w:r w:rsidRPr="003958A1">
        <w:t>: Store backups offsite, encrypted, with weekly full and daily incremental backups.</w:t>
      </w:r>
    </w:p>
    <w:p w14:paraId="1C621817" w14:textId="77777777" w:rsidR="003958A1" w:rsidRPr="003958A1" w:rsidRDefault="003958A1" w:rsidP="003958A1">
      <w:pPr>
        <w:rPr>
          <w:b/>
          <w:bCs/>
        </w:rPr>
      </w:pPr>
      <w:r w:rsidRPr="003958A1">
        <w:rPr>
          <w:b/>
          <w:bCs/>
        </w:rPr>
        <w:t>7. Compliance Requirements</w:t>
      </w:r>
    </w:p>
    <w:p w14:paraId="7A42D9EF" w14:textId="77777777" w:rsidR="003958A1" w:rsidRPr="003958A1" w:rsidRDefault="003958A1" w:rsidP="003958A1">
      <w:pPr>
        <w:numPr>
          <w:ilvl w:val="0"/>
          <w:numId w:val="18"/>
        </w:numPr>
      </w:pPr>
      <w:r w:rsidRPr="003958A1">
        <w:rPr>
          <w:b/>
          <w:bCs/>
        </w:rPr>
        <w:t>SEC Regulation S-P</w:t>
      </w:r>
      <w:r w:rsidRPr="003958A1">
        <w:t>: Notify affected clients within 30 days of PII breach.</w:t>
      </w:r>
    </w:p>
    <w:p w14:paraId="71AF8CC6" w14:textId="77777777" w:rsidR="003958A1" w:rsidRPr="003958A1" w:rsidRDefault="003958A1" w:rsidP="003958A1">
      <w:pPr>
        <w:numPr>
          <w:ilvl w:val="0"/>
          <w:numId w:val="18"/>
        </w:numPr>
      </w:pPr>
      <w:r w:rsidRPr="003958A1">
        <w:rPr>
          <w:b/>
          <w:bCs/>
        </w:rPr>
        <w:t>SEC Cybersecurity Rules</w:t>
      </w:r>
      <w:r w:rsidRPr="003958A1">
        <w:t>: File Form 8-K for material incidents within 4 business days.</w:t>
      </w:r>
    </w:p>
    <w:p w14:paraId="76B877F2" w14:textId="77777777" w:rsidR="003958A1" w:rsidRPr="003958A1" w:rsidRDefault="003958A1" w:rsidP="003958A1">
      <w:pPr>
        <w:numPr>
          <w:ilvl w:val="0"/>
          <w:numId w:val="18"/>
        </w:numPr>
      </w:pPr>
      <w:r w:rsidRPr="003958A1">
        <w:rPr>
          <w:b/>
          <w:bCs/>
        </w:rPr>
        <w:t>IRS Section 7216</w:t>
      </w:r>
      <w:r w:rsidRPr="003958A1">
        <w:t>: Protect taxpayer data; report unauthorized disclosures to IRS.</w:t>
      </w:r>
    </w:p>
    <w:p w14:paraId="1DDE6E09" w14:textId="77777777" w:rsidR="003958A1" w:rsidRPr="003958A1" w:rsidRDefault="003958A1" w:rsidP="003958A1">
      <w:pPr>
        <w:numPr>
          <w:ilvl w:val="0"/>
          <w:numId w:val="18"/>
        </w:numPr>
      </w:pPr>
      <w:r w:rsidRPr="003958A1">
        <w:rPr>
          <w:b/>
          <w:bCs/>
        </w:rPr>
        <w:t>GLBA Safeguards Rule</w:t>
      </w:r>
      <w:r w:rsidRPr="003958A1">
        <w:t>: Maintain risk-based security controls and vendor oversight.</w:t>
      </w:r>
    </w:p>
    <w:p w14:paraId="79301121" w14:textId="77777777" w:rsidR="003958A1" w:rsidRPr="003958A1" w:rsidRDefault="003958A1" w:rsidP="003958A1">
      <w:pPr>
        <w:numPr>
          <w:ilvl w:val="0"/>
          <w:numId w:val="18"/>
        </w:numPr>
      </w:pPr>
      <w:r w:rsidRPr="003958A1">
        <w:rPr>
          <w:b/>
          <w:bCs/>
        </w:rPr>
        <w:t>CCPA (if applicable)</w:t>
      </w:r>
      <w:r w:rsidRPr="003958A1">
        <w:t>: Notify California residents of PII breaches within reasonable time.</w:t>
      </w:r>
    </w:p>
    <w:p w14:paraId="440E123A" w14:textId="77777777" w:rsidR="003958A1" w:rsidRPr="003958A1" w:rsidRDefault="003958A1" w:rsidP="003958A1">
      <w:pPr>
        <w:rPr>
          <w:b/>
          <w:bCs/>
        </w:rPr>
      </w:pPr>
      <w:r w:rsidRPr="003958A1">
        <w:rPr>
          <w:b/>
          <w:bCs/>
        </w:rPr>
        <w:t>8. Contact Information</w:t>
      </w:r>
    </w:p>
    <w:p w14:paraId="6ADE22FE" w14:textId="77777777" w:rsidR="003958A1" w:rsidRPr="003958A1" w:rsidRDefault="003958A1" w:rsidP="003958A1">
      <w:pPr>
        <w:numPr>
          <w:ilvl w:val="0"/>
          <w:numId w:val="19"/>
        </w:numPr>
      </w:pPr>
      <w:r w:rsidRPr="003958A1">
        <w:rPr>
          <w:b/>
          <w:bCs/>
        </w:rPr>
        <w:t>Internal Emergency Line</w:t>
      </w:r>
      <w:r w:rsidRPr="003958A1">
        <w:t>: (555) 123-4567 (Compliance Officer)</w:t>
      </w:r>
    </w:p>
    <w:p w14:paraId="66F16800" w14:textId="77777777" w:rsidR="003958A1" w:rsidRPr="003958A1" w:rsidRDefault="003958A1" w:rsidP="003958A1">
      <w:pPr>
        <w:numPr>
          <w:ilvl w:val="0"/>
          <w:numId w:val="19"/>
        </w:numPr>
        <w:rPr>
          <w:lang w:val="fr-FR"/>
        </w:rPr>
      </w:pPr>
      <w:proofErr w:type="spellStart"/>
      <w:r w:rsidRPr="003958A1">
        <w:rPr>
          <w:b/>
          <w:bCs/>
          <w:lang w:val="fr-FR"/>
        </w:rPr>
        <w:lastRenderedPageBreak/>
        <w:t>External</w:t>
      </w:r>
      <w:proofErr w:type="spellEnd"/>
      <w:r w:rsidRPr="003958A1">
        <w:rPr>
          <w:b/>
          <w:bCs/>
          <w:lang w:val="fr-FR"/>
        </w:rPr>
        <w:t xml:space="preserve"> Support</w:t>
      </w:r>
      <w:r w:rsidRPr="003958A1">
        <w:rPr>
          <w:lang w:val="fr-FR"/>
        </w:rPr>
        <w:t xml:space="preserve">: Cyber </w:t>
      </w:r>
      <w:proofErr w:type="spellStart"/>
      <w:r w:rsidRPr="003958A1">
        <w:rPr>
          <w:lang w:val="fr-FR"/>
        </w:rPr>
        <w:t>insurance</w:t>
      </w:r>
      <w:proofErr w:type="spellEnd"/>
      <w:r w:rsidRPr="003958A1">
        <w:rPr>
          <w:lang w:val="fr-FR"/>
        </w:rPr>
        <w:t xml:space="preserve"> provider (</w:t>
      </w:r>
      <w:hyperlink r:id="rId14" w:history="1">
        <w:r w:rsidRPr="003958A1">
          <w:rPr>
            <w:rStyle w:val="Hyperlink"/>
            <w:lang w:val="fr-FR"/>
          </w:rPr>
          <w:t>vendor@support.com</w:t>
        </w:r>
      </w:hyperlink>
      <w:r w:rsidRPr="003958A1">
        <w:rPr>
          <w:lang w:val="fr-FR"/>
        </w:rPr>
        <w:t>), FBI Cyber Division (</w:t>
      </w:r>
      <w:hyperlink r:id="rId15" w:history="1">
        <w:r w:rsidRPr="003958A1">
          <w:rPr>
            <w:rStyle w:val="Hyperlink"/>
            <w:lang w:val="fr-FR"/>
          </w:rPr>
          <w:t>cyber@fbi.gov</w:t>
        </w:r>
      </w:hyperlink>
      <w:r w:rsidRPr="003958A1">
        <w:rPr>
          <w:lang w:val="fr-FR"/>
        </w:rPr>
        <w:t>)</w:t>
      </w:r>
    </w:p>
    <w:p w14:paraId="562FC069" w14:textId="77777777" w:rsidR="003958A1" w:rsidRPr="003958A1" w:rsidRDefault="003958A1" w:rsidP="003958A1">
      <w:pPr>
        <w:numPr>
          <w:ilvl w:val="0"/>
          <w:numId w:val="19"/>
        </w:numPr>
      </w:pPr>
      <w:r w:rsidRPr="003958A1">
        <w:rPr>
          <w:b/>
          <w:bCs/>
        </w:rPr>
        <w:t>Regulators</w:t>
      </w:r>
      <w:r w:rsidRPr="003958A1">
        <w:t>: SEC (</w:t>
      </w:r>
      <w:hyperlink r:id="rId16" w:history="1">
        <w:r w:rsidRPr="003958A1">
          <w:rPr>
            <w:rStyle w:val="Hyperlink"/>
          </w:rPr>
          <w:t>enforcement@sec.gov</w:t>
        </w:r>
      </w:hyperlink>
      <w:r w:rsidRPr="003958A1">
        <w:t>), IRS (</w:t>
      </w:r>
      <w:hyperlink r:id="rId17" w:history="1">
        <w:r w:rsidRPr="003958A1">
          <w:rPr>
            <w:rStyle w:val="Hyperlink"/>
          </w:rPr>
          <w:t>safeguardreports@irs.gov</w:t>
        </w:r>
      </w:hyperlink>
      <w:r w:rsidRPr="003958A1">
        <w:t>)</w:t>
      </w:r>
    </w:p>
    <w:p w14:paraId="00F55204" w14:textId="77777777" w:rsidR="003958A1" w:rsidRPr="003958A1" w:rsidRDefault="003958A1" w:rsidP="003958A1">
      <w:pPr>
        <w:rPr>
          <w:b/>
          <w:bCs/>
        </w:rPr>
      </w:pPr>
      <w:r w:rsidRPr="003958A1">
        <w:rPr>
          <w:b/>
          <w:bCs/>
        </w:rPr>
        <w:t>9. Review and Updates</w:t>
      </w:r>
    </w:p>
    <w:p w14:paraId="5E581D12" w14:textId="77777777" w:rsidR="003958A1" w:rsidRPr="003958A1" w:rsidRDefault="003958A1" w:rsidP="003958A1">
      <w:pPr>
        <w:numPr>
          <w:ilvl w:val="0"/>
          <w:numId w:val="20"/>
        </w:numPr>
      </w:pPr>
      <w:r w:rsidRPr="003958A1">
        <w:rPr>
          <w:b/>
          <w:bCs/>
        </w:rPr>
        <w:t>Frequency</w:t>
      </w:r>
      <w:r w:rsidRPr="003958A1">
        <w:t>: Review IRP annually or after major incidents.</w:t>
      </w:r>
    </w:p>
    <w:p w14:paraId="75602F87" w14:textId="77777777" w:rsidR="003958A1" w:rsidRPr="003958A1" w:rsidRDefault="003958A1" w:rsidP="003958A1">
      <w:pPr>
        <w:numPr>
          <w:ilvl w:val="0"/>
          <w:numId w:val="20"/>
        </w:numPr>
      </w:pPr>
      <w:r w:rsidRPr="003958A1">
        <w:rPr>
          <w:b/>
          <w:bCs/>
        </w:rPr>
        <w:t>Responsible</w:t>
      </w:r>
      <w:r w:rsidRPr="003958A1">
        <w:t>: Compliance Officer ensures updates align with regulations.</w:t>
      </w:r>
    </w:p>
    <w:p w14:paraId="060C3A3E" w14:textId="77777777" w:rsidR="003958A1" w:rsidRPr="003958A1" w:rsidRDefault="003958A1" w:rsidP="003958A1">
      <w:pPr>
        <w:numPr>
          <w:ilvl w:val="0"/>
          <w:numId w:val="20"/>
        </w:numPr>
      </w:pPr>
      <w:r w:rsidRPr="003958A1">
        <w:rPr>
          <w:b/>
          <w:bCs/>
        </w:rPr>
        <w:t>Approval</w:t>
      </w:r>
      <w:r w:rsidRPr="003958A1">
        <w:t>: CEO/Partner approves changes.</w:t>
      </w:r>
    </w:p>
    <w:p w14:paraId="1E231B17" w14:textId="77777777" w:rsidR="003958A1" w:rsidRPr="003958A1" w:rsidRDefault="003958A1" w:rsidP="003958A1">
      <w:pPr>
        <w:rPr>
          <w:b/>
          <w:bCs/>
        </w:rPr>
      </w:pPr>
      <w:r w:rsidRPr="003958A1">
        <w:rPr>
          <w:b/>
          <w:bCs/>
        </w:rPr>
        <w:t>10. Appendices</w:t>
      </w:r>
    </w:p>
    <w:p w14:paraId="43D30E88" w14:textId="77777777" w:rsidR="003958A1" w:rsidRPr="003958A1" w:rsidRDefault="003958A1" w:rsidP="003958A1">
      <w:pPr>
        <w:rPr>
          <w:b/>
          <w:bCs/>
        </w:rPr>
      </w:pPr>
      <w:r w:rsidRPr="003958A1">
        <w:rPr>
          <w:b/>
          <w:bCs/>
        </w:rPr>
        <w:t>Appendix A: Incident Reporting Form</w:t>
      </w:r>
    </w:p>
    <w:p w14:paraId="12E154B2" w14:textId="77777777" w:rsidR="003958A1" w:rsidRPr="003958A1" w:rsidRDefault="003958A1" w:rsidP="003958A1">
      <w:r w:rsidRPr="003958A1">
        <w:t>Incident Reporting Form</w:t>
      </w:r>
    </w:p>
    <w:p w14:paraId="697AE99B" w14:textId="77777777" w:rsidR="003958A1" w:rsidRPr="003958A1" w:rsidRDefault="003958A1" w:rsidP="003958A1">
      <w:r w:rsidRPr="003958A1">
        <w:t>Date/Time: [Insert]</w:t>
      </w:r>
    </w:p>
    <w:p w14:paraId="2B60E150" w14:textId="77777777" w:rsidR="003958A1" w:rsidRPr="003958A1" w:rsidRDefault="003958A1" w:rsidP="003958A1">
      <w:r w:rsidRPr="003958A1">
        <w:t>Reporter: [Name/Role]</w:t>
      </w:r>
    </w:p>
    <w:p w14:paraId="3EB07329" w14:textId="77777777" w:rsidR="003958A1" w:rsidRPr="003958A1" w:rsidRDefault="003958A1" w:rsidP="003958A1">
      <w:r w:rsidRPr="003958A1">
        <w:t>Incident Type: [e.g., Phishing, Ransomware]</w:t>
      </w:r>
    </w:p>
    <w:p w14:paraId="123EAF1C" w14:textId="77777777" w:rsidR="003958A1" w:rsidRPr="003958A1" w:rsidRDefault="003958A1" w:rsidP="003958A1">
      <w:r w:rsidRPr="003958A1">
        <w:t>Description: [Details]</w:t>
      </w:r>
    </w:p>
    <w:p w14:paraId="09D07607" w14:textId="77777777" w:rsidR="003958A1" w:rsidRPr="003958A1" w:rsidRDefault="003958A1" w:rsidP="003958A1">
      <w:r w:rsidRPr="003958A1">
        <w:t>Systems/Data Affected: [e.g., Client database]</w:t>
      </w:r>
    </w:p>
    <w:p w14:paraId="1D4CAE81" w14:textId="77777777" w:rsidR="003958A1" w:rsidRPr="003958A1" w:rsidRDefault="003958A1" w:rsidP="003958A1">
      <w:r w:rsidRPr="003958A1">
        <w:t>Actions Taken: [e.g., Isolated workstation]</w:t>
      </w:r>
    </w:p>
    <w:p w14:paraId="21CF5B0A" w14:textId="77777777" w:rsidR="003958A1" w:rsidRPr="003958A1" w:rsidRDefault="003958A1" w:rsidP="003958A1">
      <w:pPr>
        <w:rPr>
          <w:b/>
          <w:bCs/>
        </w:rPr>
      </w:pPr>
      <w:r w:rsidRPr="003958A1">
        <w:rPr>
          <w:b/>
          <w:bCs/>
        </w:rPr>
        <w:t>Appendix B: After-Action Report Template</w:t>
      </w:r>
    </w:p>
    <w:p w14:paraId="2AE44FBF" w14:textId="77777777" w:rsidR="003958A1" w:rsidRPr="003958A1" w:rsidRDefault="003958A1" w:rsidP="003958A1">
      <w:r w:rsidRPr="003958A1">
        <w:t>After-Action Report</w:t>
      </w:r>
    </w:p>
    <w:p w14:paraId="13D4264F" w14:textId="77777777" w:rsidR="003958A1" w:rsidRPr="003958A1" w:rsidRDefault="003958A1" w:rsidP="003958A1">
      <w:r w:rsidRPr="003958A1">
        <w:t>Incident Date: [Date]</w:t>
      </w:r>
    </w:p>
    <w:p w14:paraId="4CCE68F5" w14:textId="77777777" w:rsidR="003958A1" w:rsidRPr="003958A1" w:rsidRDefault="003958A1" w:rsidP="003958A1">
      <w:r w:rsidRPr="003958A1">
        <w:t>Participants: [List]</w:t>
      </w:r>
    </w:p>
    <w:p w14:paraId="259D6B0D" w14:textId="77777777" w:rsidR="003958A1" w:rsidRPr="003958A1" w:rsidRDefault="003958A1" w:rsidP="003958A1">
      <w:r w:rsidRPr="003958A1">
        <w:t>Strengths: [e.g., Quick containment]</w:t>
      </w:r>
    </w:p>
    <w:p w14:paraId="2320A8B7" w14:textId="77777777" w:rsidR="003958A1" w:rsidRPr="003958A1" w:rsidRDefault="003958A1" w:rsidP="003958A1">
      <w:r w:rsidRPr="003958A1">
        <w:t>Gaps: [e.g., No MFA]</w:t>
      </w:r>
    </w:p>
    <w:p w14:paraId="36F549E6" w14:textId="77777777" w:rsidR="003958A1" w:rsidRPr="003958A1" w:rsidRDefault="003958A1" w:rsidP="003958A1">
      <w:r w:rsidRPr="003958A1">
        <w:t>Action Items:</w:t>
      </w:r>
    </w:p>
    <w:p w14:paraId="7B20D916" w14:textId="77777777" w:rsidR="003958A1" w:rsidRPr="003958A1" w:rsidRDefault="003958A1" w:rsidP="003958A1">
      <w:r w:rsidRPr="003958A1">
        <w:t>- [Role]: [Task] - [Deadline]</w:t>
      </w:r>
    </w:p>
    <w:p w14:paraId="36352DB5" w14:textId="77777777" w:rsidR="003958A1" w:rsidRPr="003958A1" w:rsidRDefault="003958A1" w:rsidP="003958A1">
      <w:r w:rsidRPr="003958A1">
        <w:lastRenderedPageBreak/>
        <w:t>Preparedness Score: [1-10]</w:t>
      </w:r>
    </w:p>
    <w:p w14:paraId="5D2DFBF1" w14:textId="77777777" w:rsidR="003958A1" w:rsidRPr="003958A1" w:rsidRDefault="003958A1" w:rsidP="00A21767"/>
    <w:sectPr w:rsidR="003958A1" w:rsidRPr="003958A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6AB8" w14:textId="77777777" w:rsidR="00427E42" w:rsidRDefault="00427E42" w:rsidP="00A21767">
      <w:pPr>
        <w:spacing w:after="0" w:line="240" w:lineRule="auto"/>
      </w:pPr>
      <w:r>
        <w:separator/>
      </w:r>
    </w:p>
  </w:endnote>
  <w:endnote w:type="continuationSeparator" w:id="0">
    <w:p w14:paraId="7616BC54" w14:textId="77777777" w:rsidR="00427E42" w:rsidRDefault="00427E42" w:rsidP="00A2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197E" w14:textId="77777777" w:rsidR="00A21767" w:rsidRPr="00A21767" w:rsidRDefault="00A21767" w:rsidP="00A21767">
    <w:pPr>
      <w:pStyle w:val="Footer"/>
      <w:rPr>
        <w:b/>
        <w:bCs/>
      </w:rPr>
    </w:pPr>
    <w:r w:rsidRPr="00A21767">
      <w:rPr>
        <w:b/>
        <w:bCs/>
      </w:rPr>
      <w:t>Disclaimer</w:t>
    </w:r>
  </w:p>
  <w:p w14:paraId="3DE1E0DF" w14:textId="77777777" w:rsidR="00A21767" w:rsidRPr="00A21767" w:rsidRDefault="00A21767" w:rsidP="00A21767">
    <w:pPr>
      <w:pStyle w:val="Footer"/>
    </w:pPr>
    <w:r w:rsidRPr="00A21767">
      <w:t>The information provided is accurate as of August 8, 2025, based on available sources. Regulations may vary by state, industry, or business structure. Readers are encouraged to consult legal or compliance professionals to ensure adherence to applicable laws and the company's specific requirements.</w:t>
    </w:r>
  </w:p>
  <w:p w14:paraId="7B25AD4E" w14:textId="77777777" w:rsidR="00A21767" w:rsidRDefault="00A2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7139" w14:textId="77777777" w:rsidR="00427E42" w:rsidRDefault="00427E42" w:rsidP="00A21767">
      <w:pPr>
        <w:spacing w:after="0" w:line="240" w:lineRule="auto"/>
      </w:pPr>
      <w:r>
        <w:separator/>
      </w:r>
    </w:p>
  </w:footnote>
  <w:footnote w:type="continuationSeparator" w:id="0">
    <w:p w14:paraId="522F13C5" w14:textId="77777777" w:rsidR="00427E42" w:rsidRDefault="00427E42" w:rsidP="00A2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A881" w14:textId="03143E1E" w:rsidR="00A21767" w:rsidRDefault="00A21767">
    <w:pPr>
      <w:pStyle w:val="Header"/>
    </w:pPr>
    <w:r w:rsidRPr="00161735">
      <w:rPr>
        <w:noProof/>
      </w:rPr>
      <w:drawing>
        <wp:anchor distT="0" distB="0" distL="114300" distR="114300" simplePos="0" relativeHeight="251659264" behindDoc="1" locked="0" layoutInCell="1" allowOverlap="1" wp14:anchorId="3A9FBFB8" wp14:editId="1BDA50D3">
          <wp:simplePos x="0" y="0"/>
          <wp:positionH relativeFrom="margin">
            <wp:align>center</wp:align>
          </wp:positionH>
          <wp:positionV relativeFrom="paragraph">
            <wp:posOffset>-345831</wp:posOffset>
          </wp:positionV>
          <wp:extent cx="3467687" cy="1019907"/>
          <wp:effectExtent l="0" t="0" r="0" b="0"/>
          <wp:wrapNone/>
          <wp:docPr id="7" name="Picture 6" descr="A blue and white logo">
            <a:extLst xmlns:a="http://schemas.openxmlformats.org/drawingml/2006/main">
              <a:ext uri="{FF2B5EF4-FFF2-40B4-BE49-F238E27FC236}">
                <a16:creationId xmlns:a16="http://schemas.microsoft.com/office/drawing/2014/main" id="{668FDF4E-B55B-F196-3E01-12FBF0FDF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and white logo">
                    <a:extLst>
                      <a:ext uri="{FF2B5EF4-FFF2-40B4-BE49-F238E27FC236}">
                        <a16:creationId xmlns:a16="http://schemas.microsoft.com/office/drawing/2014/main" id="{668FDF4E-B55B-F196-3E01-12FBF0FDFF7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67687" cy="10199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3D3"/>
    <w:multiLevelType w:val="multilevel"/>
    <w:tmpl w:val="910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52A"/>
    <w:multiLevelType w:val="multilevel"/>
    <w:tmpl w:val="85D6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F3213"/>
    <w:multiLevelType w:val="multilevel"/>
    <w:tmpl w:val="9EC2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75207"/>
    <w:multiLevelType w:val="multilevel"/>
    <w:tmpl w:val="29A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5235B"/>
    <w:multiLevelType w:val="multilevel"/>
    <w:tmpl w:val="0ED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45E72"/>
    <w:multiLevelType w:val="multilevel"/>
    <w:tmpl w:val="F60E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7A00"/>
    <w:multiLevelType w:val="multilevel"/>
    <w:tmpl w:val="675A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A64FB"/>
    <w:multiLevelType w:val="multilevel"/>
    <w:tmpl w:val="627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A3678"/>
    <w:multiLevelType w:val="multilevel"/>
    <w:tmpl w:val="AD62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D51C2"/>
    <w:multiLevelType w:val="multilevel"/>
    <w:tmpl w:val="92A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145C7"/>
    <w:multiLevelType w:val="multilevel"/>
    <w:tmpl w:val="3CD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B19DA"/>
    <w:multiLevelType w:val="multilevel"/>
    <w:tmpl w:val="03E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B3A12"/>
    <w:multiLevelType w:val="multilevel"/>
    <w:tmpl w:val="F9C8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D43E0"/>
    <w:multiLevelType w:val="multilevel"/>
    <w:tmpl w:val="62D6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A77EA"/>
    <w:multiLevelType w:val="multilevel"/>
    <w:tmpl w:val="4B8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57B86"/>
    <w:multiLevelType w:val="multilevel"/>
    <w:tmpl w:val="2A9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F48CE"/>
    <w:multiLevelType w:val="multilevel"/>
    <w:tmpl w:val="B5C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91568"/>
    <w:multiLevelType w:val="multilevel"/>
    <w:tmpl w:val="DC9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0014A"/>
    <w:multiLevelType w:val="multilevel"/>
    <w:tmpl w:val="5AC6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D189D"/>
    <w:multiLevelType w:val="multilevel"/>
    <w:tmpl w:val="FEB88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83651">
    <w:abstractNumId w:val="3"/>
  </w:num>
  <w:num w:numId="2" w16cid:durableId="1413625180">
    <w:abstractNumId w:val="17"/>
  </w:num>
  <w:num w:numId="3" w16cid:durableId="1484390723">
    <w:abstractNumId w:val="11"/>
  </w:num>
  <w:num w:numId="4" w16cid:durableId="746683261">
    <w:abstractNumId w:val="4"/>
  </w:num>
  <w:num w:numId="5" w16cid:durableId="1160270804">
    <w:abstractNumId w:val="7"/>
  </w:num>
  <w:num w:numId="6" w16cid:durableId="1790204887">
    <w:abstractNumId w:val="10"/>
  </w:num>
  <w:num w:numId="7" w16cid:durableId="987173881">
    <w:abstractNumId w:val="1"/>
  </w:num>
  <w:num w:numId="8" w16cid:durableId="820005316">
    <w:abstractNumId w:val="16"/>
  </w:num>
  <w:num w:numId="9" w16cid:durableId="262685335">
    <w:abstractNumId w:val="2"/>
  </w:num>
  <w:num w:numId="10" w16cid:durableId="567572204">
    <w:abstractNumId w:val="13"/>
  </w:num>
  <w:num w:numId="11" w16cid:durableId="1372073954">
    <w:abstractNumId w:val="19"/>
  </w:num>
  <w:num w:numId="12" w16cid:durableId="1143157717">
    <w:abstractNumId w:val="5"/>
  </w:num>
  <w:num w:numId="13" w16cid:durableId="373697389">
    <w:abstractNumId w:val="6"/>
  </w:num>
  <w:num w:numId="14" w16cid:durableId="525410369">
    <w:abstractNumId w:val="8"/>
  </w:num>
  <w:num w:numId="15" w16cid:durableId="552548030">
    <w:abstractNumId w:val="0"/>
  </w:num>
  <w:num w:numId="16" w16cid:durableId="2019381042">
    <w:abstractNumId w:val="12"/>
  </w:num>
  <w:num w:numId="17" w16cid:durableId="1735275467">
    <w:abstractNumId w:val="18"/>
  </w:num>
  <w:num w:numId="18" w16cid:durableId="31005919">
    <w:abstractNumId w:val="9"/>
  </w:num>
  <w:num w:numId="19" w16cid:durableId="1356156795">
    <w:abstractNumId w:val="14"/>
  </w:num>
  <w:num w:numId="20" w16cid:durableId="1839727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67"/>
    <w:rsid w:val="00226062"/>
    <w:rsid w:val="00362AD1"/>
    <w:rsid w:val="003958A1"/>
    <w:rsid w:val="00427E42"/>
    <w:rsid w:val="00680A4E"/>
    <w:rsid w:val="009475EB"/>
    <w:rsid w:val="00A21767"/>
    <w:rsid w:val="00FB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444"/>
  <w15:chartTrackingRefBased/>
  <w15:docId w15:val="{5ACB797D-60C7-4702-B5DE-E009AC3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67"/>
    <w:rPr>
      <w:rFonts w:eastAsiaTheme="majorEastAsia" w:cstheme="majorBidi"/>
      <w:color w:val="272727" w:themeColor="text1" w:themeTint="D8"/>
    </w:rPr>
  </w:style>
  <w:style w:type="paragraph" w:styleId="Title">
    <w:name w:val="Title"/>
    <w:basedOn w:val="Normal"/>
    <w:next w:val="Normal"/>
    <w:link w:val="TitleChar"/>
    <w:uiPriority w:val="10"/>
    <w:qFormat/>
    <w:rsid w:val="00A2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67"/>
    <w:pPr>
      <w:spacing w:before="160"/>
      <w:jc w:val="center"/>
    </w:pPr>
    <w:rPr>
      <w:i/>
      <w:iCs/>
      <w:color w:val="404040" w:themeColor="text1" w:themeTint="BF"/>
    </w:rPr>
  </w:style>
  <w:style w:type="character" w:customStyle="1" w:styleId="QuoteChar">
    <w:name w:val="Quote Char"/>
    <w:basedOn w:val="DefaultParagraphFont"/>
    <w:link w:val="Quote"/>
    <w:uiPriority w:val="29"/>
    <w:rsid w:val="00A21767"/>
    <w:rPr>
      <w:i/>
      <w:iCs/>
      <w:color w:val="404040" w:themeColor="text1" w:themeTint="BF"/>
    </w:rPr>
  </w:style>
  <w:style w:type="paragraph" w:styleId="ListParagraph">
    <w:name w:val="List Paragraph"/>
    <w:basedOn w:val="Normal"/>
    <w:uiPriority w:val="34"/>
    <w:qFormat/>
    <w:rsid w:val="00A21767"/>
    <w:pPr>
      <w:ind w:left="720"/>
      <w:contextualSpacing/>
    </w:pPr>
  </w:style>
  <w:style w:type="character" w:styleId="IntenseEmphasis">
    <w:name w:val="Intense Emphasis"/>
    <w:basedOn w:val="DefaultParagraphFont"/>
    <w:uiPriority w:val="21"/>
    <w:qFormat/>
    <w:rsid w:val="00A21767"/>
    <w:rPr>
      <w:i/>
      <w:iCs/>
      <w:color w:val="0F4761" w:themeColor="accent1" w:themeShade="BF"/>
    </w:rPr>
  </w:style>
  <w:style w:type="paragraph" w:styleId="IntenseQuote">
    <w:name w:val="Intense Quote"/>
    <w:basedOn w:val="Normal"/>
    <w:next w:val="Normal"/>
    <w:link w:val="IntenseQuoteChar"/>
    <w:uiPriority w:val="30"/>
    <w:qFormat/>
    <w:rsid w:val="00A2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767"/>
    <w:rPr>
      <w:i/>
      <w:iCs/>
      <w:color w:val="0F4761" w:themeColor="accent1" w:themeShade="BF"/>
    </w:rPr>
  </w:style>
  <w:style w:type="character" w:styleId="IntenseReference">
    <w:name w:val="Intense Reference"/>
    <w:basedOn w:val="DefaultParagraphFont"/>
    <w:uiPriority w:val="32"/>
    <w:qFormat/>
    <w:rsid w:val="00A21767"/>
    <w:rPr>
      <w:b/>
      <w:bCs/>
      <w:smallCaps/>
      <w:color w:val="0F4761" w:themeColor="accent1" w:themeShade="BF"/>
      <w:spacing w:val="5"/>
    </w:rPr>
  </w:style>
  <w:style w:type="paragraph" w:styleId="Header">
    <w:name w:val="header"/>
    <w:basedOn w:val="Normal"/>
    <w:link w:val="HeaderChar"/>
    <w:uiPriority w:val="99"/>
    <w:unhideWhenUsed/>
    <w:rsid w:val="00A2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67"/>
  </w:style>
  <w:style w:type="paragraph" w:styleId="Footer">
    <w:name w:val="footer"/>
    <w:basedOn w:val="Normal"/>
    <w:link w:val="FooterChar"/>
    <w:uiPriority w:val="99"/>
    <w:unhideWhenUsed/>
    <w:rsid w:val="00A2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67"/>
  </w:style>
  <w:style w:type="character" w:styleId="Hyperlink">
    <w:name w:val="Hyperlink"/>
    <w:basedOn w:val="DefaultParagraphFont"/>
    <w:uiPriority w:val="99"/>
    <w:unhideWhenUsed/>
    <w:rsid w:val="003958A1"/>
    <w:rPr>
      <w:color w:val="467886" w:themeColor="hyperlink"/>
      <w:u w:val="single"/>
    </w:rPr>
  </w:style>
  <w:style w:type="character" w:styleId="UnresolvedMention">
    <w:name w:val="Unresolved Mention"/>
    <w:basedOn w:val="DefaultParagraphFont"/>
    <w:uiPriority w:val="99"/>
    <w:semiHidden/>
    <w:unhideWhenUsed/>
    <w:rsid w:val="0039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irm.com" TargetMode="External"/><Relationship Id="rId13" Type="http://schemas.openxmlformats.org/officeDocument/2006/relationships/hyperlink" Target="mailto:vendor@suppor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mpliance@firm.com" TargetMode="External"/><Relationship Id="rId12" Type="http://schemas.openxmlformats.org/officeDocument/2006/relationships/hyperlink" Target="mailto:hr@firm.com" TargetMode="External"/><Relationship Id="rId17" Type="http://schemas.openxmlformats.org/officeDocument/2006/relationships/hyperlink" Target="mailto:safeguardreports@irs.gov" TargetMode="External"/><Relationship Id="rId2" Type="http://schemas.openxmlformats.org/officeDocument/2006/relationships/styles" Target="styles.xml"/><Relationship Id="rId16" Type="http://schemas.openxmlformats.org/officeDocument/2006/relationships/hyperlink" Target="mailto:enforcement@sec.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unting@firm.com" TargetMode="External"/><Relationship Id="rId5" Type="http://schemas.openxmlformats.org/officeDocument/2006/relationships/footnotes" Target="footnotes.xml"/><Relationship Id="rId15" Type="http://schemas.openxmlformats.org/officeDocument/2006/relationships/hyperlink" Target="mailto:cyber@fbi.gov" TargetMode="External"/><Relationship Id="rId10" Type="http://schemas.openxmlformats.org/officeDocument/2006/relationships/hyperlink" Target="mailto:legal@firm.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o@firm.com" TargetMode="External"/><Relationship Id="rId14" Type="http://schemas.openxmlformats.org/officeDocument/2006/relationships/hyperlink" Target="mailto:vendor@sup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Stillman</dc:creator>
  <cp:keywords/>
  <dc:description/>
  <cp:lastModifiedBy>Wesley Stillman</cp:lastModifiedBy>
  <cp:revision>2</cp:revision>
  <dcterms:created xsi:type="dcterms:W3CDTF">2025-08-08T18:25:00Z</dcterms:created>
  <dcterms:modified xsi:type="dcterms:W3CDTF">2025-08-09T17:35:00Z</dcterms:modified>
</cp:coreProperties>
</file>